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9600" w:type="dxa"/>
              <w:tblCellSpacing w:w="0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96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157F33">
                  <w:pPr>
                    <w:pStyle w:val="3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АНТИТЕРРОР | Психология и психопатология терроризма. Гуманитарные стратегии </w:t>
                  </w:r>
                  <w:proofErr w:type="spellStart"/>
                  <w:r>
                    <w:rPr>
                      <w:rFonts w:ascii="Verdana" w:hAnsi="Verdana"/>
                    </w:rPr>
                    <w:t>антитеррора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|</w:t>
                  </w:r>
                </w:p>
                <w:p w:rsidR="00000000" w:rsidRDefault="00157F33">
                  <w:pPr>
                    <w:pStyle w:val="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Особенности состояния, поведения и деятельности людей в экстремальных ситуациях с </w:t>
                  </w:r>
                  <w:proofErr w:type="spellStart"/>
                  <w:r>
                    <w:rPr>
                      <w:rFonts w:ascii="Verdana" w:hAnsi="Verdana"/>
                    </w:rPr>
                    <w:t>витальной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угрозой</w:t>
                  </w:r>
                </w:p>
                <w:p w:rsidR="00000000" w:rsidRDefault="00157F33">
                  <w:pPr>
                    <w:pStyle w:val="2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Темы форума</w:t>
                  </w:r>
                </w:p>
                <w:p w:rsidR="00000000" w:rsidRDefault="00157F33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Полную версию статьи читайте </w:t>
                  </w:r>
                  <w:hyperlink r:id="rId4" w:tooltip="Особенности" w:history="1">
                    <w:r>
                      <w:rPr>
                        <w:rStyle w:val="a4"/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здесь</w:t>
                    </w:r>
                  </w:hyperlink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0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000000" w:rsidRDefault="00157F33">
                        <w:pPr>
                          <w:pStyle w:val="a3"/>
                          <w:jc w:val="righ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18.09.2004 - 9:37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pm</w:t>
                        </w:r>
                        <w:proofErr w:type="spellEnd"/>
                      </w:p>
                      <w:p w:rsidR="00000000" w:rsidRDefault="00157F3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Статья М. М.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Решетникова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57F3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pict>
                            <v:rect id="_x0000_i1025" style="width:0;height:.75pt" o:hralign="center" o:hrstd="t" o:hr="t" fillcolor="gray" stroked="f"/>
                          </w:pict>
                        </w:r>
                      </w:p>
                      <w:p w:rsidR="00000000" w:rsidRDefault="00157F33">
                        <w:pPr>
                          <w:rPr>
                            <w:rFonts w:ascii="Verdana" w:eastAsia="Arial Unicode MS" w:hAnsi="Verdana" w:cs="Arial Unicode MS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Проблема состояния, поведения и деятельности людей в экстремальных ситуациях с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витальной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угрозой (стихийные бедствия, техно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генные катастрофы, теракты) в последние годы вызывает серьезную озабоченность ученых и практиков всего мира. Однако до настоящего времени основное внимание исследователей было направлено преимущественно на изучение последствий подобных ситуаций — медико-пс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ихологических, экономических, социально-политических и т. д. Вероятно, следует признать, что, несмотря на значительный объем достаточно обоснованных данных о воздействии различных экстремальных факторов и особенностях организации спасательных 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антитеррори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стических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операций, ряд аспектов проблемы, в частности, динамика состояния и поведения пострадавших и заложников до настоящего времени принадлежат к наименее исследованным. Вместе с тем именно специфика реакций пострадавших, а также их динамика во времени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во многом определяют стратегию и тактику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антитеррористических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операций, спасательных, медицинских и медико-психологических мероприятий как непосредственно в период чрезвычайной ситуации, так и в последующем.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В публикации излагаются обобщенные результаты и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зучения состояния, психических и поведенческих реакций, а также деятельности людей, подвергшихся воздействию экстремальных факторов. Основные данные были получены в процессе исследований, проведенных во время 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по-сле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войсковых операций сопровождавшихся зн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ачительными потерями в Афганистане (1986), землетрясения в Армении (1988), катастрофы двух пассажирских поездов в результате взрыва газа под Уфой (1989), спасения экипажа подводной лодки «Комсомолец» (1989), а также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обсле-дования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военнослужащих и спасателе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й, находящихся на реабилитации после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антитеррористических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операций и аналитического изучения материалов других аналогичных ситуаций (исследования проводились совместно с кандидатом психологических наук, старшим научным сотрудником Барановым Ю. А., доктором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психологических наук и кандидатом медицинских наук, профессором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Корзуниным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В. А., доктором философских наук, профессором Мухиным А. П., доктором педагогических наук, профессором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Науменко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Е. Б., доктором медицинских наук, профессором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Чермяниным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С. В.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К со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жалению, многие из имеющихся и полученных в последующем материалов, хотя и относятся к остро востребованным, все еще принадлежат к закрытым источникам).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В связи со спецификой условий и с учетом этических принципов, к обследованию привлекались преимуществ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енно потерпевшие, военнослужащие и спасатели, которые либо не нуждались в оказании неотложной медицинской помощи, либо принадлежали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к категории пострадавших с легкими и средними степенями тяжести поражений. В силу этого большинство полученных данных характ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еризовались определенной фрагментарностью, а целостные представления формировались путем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со-поставления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разрозненных наблюдений.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Полученные данные позволили выделить в динамике состояния пострадавших (без тяжелых травам) 6 последовательных стадий: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1. «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итальных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реакций» — длительностью от нескольких секунд до 5 - 15 минут, когда поведение практически полностью подчинено императиву сохранения собственной жизни, с характерными сужением сознания, редукцией моральных норм и ограничений, нарушениями восприяти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я временных интервалов и силы внешних и внутренних раздражителей (включая явления психогенной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гипо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- 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аналгезии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даже при травмах, сопровождавшихся переломами костей, ранениях и ожогах 1–2-й степени до 40% поверхности тела). В этот период характерна реализа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ция преимущественно инстинктивных форм поведения, в последующем переходящих в кратковременное (тем не менее - с очень широкой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вариативностью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) состояние оцепенения. Длительность и выраженность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витальных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реакций в существенной степени зависит от внезапности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воздействия экстремального фактора. Например, при внезапных мощных подземных толчках, как при землетрясении в Армении, или крушении поезда под Уфой в ночное время, когда большинство пассажиров спали, имели место случаи, когда, реализуя инстинкт самосохране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ния, люди выпрыгивали из окон шатающихся домов или горящих вагонов, на некоторые секунды «забывая» о своих близких. Но, если при этом они не получали существенных повреждений, уже через несколько секунд социальная регуляция восстанавливалась, и они вновь б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росались в обрушивающиеся здания или пылающие вагоны. Если спасти близких не удавалось, это определяло течение всех последующих стадий, специфику состояния и прогноз психопатологии на весьма протяженный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пе-риод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 Последующие попытки рационального разубежден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ия в том, что инстинктивным формам поведения невозможно противостоять или противодействовать, оказывались малоэффективными, и нами применялись другие специальные методы, которых мы не будем касаться в этой публикации. Апеллируя к последним трагическим собы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тиям, следует признать, что, отчасти, аналогичная ситуация наблюдалась после внезапного взрыва мины и начала массового расстрела заложников.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2. «Стадия острого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психоэмоционального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шока с явлениями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сверхмобилизации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». Эта стадия, как правило, развивалась вс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лед за кратковременным состоянием оцепенения, длилась от 3 до 5 часов и характеризовалась общим психическим напряжением, предельной мобилизацией психофизиологических резервов, обострением восприятия и увеличением скорости мыслительных процессов, проявления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ми безрассудной смелости (особенно при спасении близких) при одновременном снижении критической оценки ситуации, но сохранении способности к целесообразной деятельности. В эмоциональном состоянии в этот период преобладало чувство отчаяния, сопровождавшееся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ощущениями головокружения и головной боли, а также сердцебиением, сухостью во рту, жаждой и затрудненным дыханием. Поведение в этот период подчинено почти исключительно императиву спасения близких с последующей реализацией представлений о морали, професси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ональном и служебном долге. Несмотря на присутствие рациональных компонентов, именно в этот период наиболее вероятны проявления панических реакций и заражение ими окружающих, что может существенно осложнять проведение спасательных операций. До 30% обследов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анных, при субъективной оценке ухудшения состояния одновременно отмечали увеличение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фи-зических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сил и работоспособности в 1,5–2 и более раз. Окончание этой стадии может быть как пролонгированным, с постепенным появлением чувства истощения, так и наступать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внезапно, мгновенно, когда только что активно действующие люди оказывались в состоянии близком к ступору или обмороку вне зависимости от ситуации.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3. «Стадия психофизиологической демобилизации» — ее длительность до трех суток. В абсолютном большинстве сл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учаев наступление этой стадии связывалось с пониманием масштабов трагедии («стресс осознания») и контактами с получившими тяжелые травмы и телами погибших, а также прибытием спасательных и врачебных бригад.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 xml:space="preserve">Наиболее характерными для этого периода являлись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резкое ухудшение самочувствия 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психоэмоционального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состояния с преобладанием чувства растерянности (вплоть до состояния своеобразной прострации), отдельных панических реакций (нередко — иррациональной направленности, но реализуемых без какого-либо энергет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ического потенциала), понижение моральной нормативности поведения, отказ от какой-либо деятельности и мотивации к ней. Одновременно наблюдались выраженные депрессивные тенденции, нарушения функции внимания и памяти (как правило, обследованные вообще не мог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ут сколько-нибудь ясно вспомнить, что они делали в это время но, естественно, эти пробелы затем «заполняются»). Из жалоб в этот период ведущими являлись тошнота, «тяжесть» в голове, ощущения дискомфорта со стороны желудочно-кишечного тракта, отсутствие апп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етита, резкая слабость, замедление и затруднение дыхания,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тремор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конечностей.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4. Последующая динамика состояния и самочувствия пострадавших во многом определяется спецификой воздействия экстремальных факторов, полученными поражениями и морально-психологи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ческой ситуацией после трагических событий. Вслед за «психофизиологической демобилизацией» (при относительно высокой индивидуальной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вариативности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сроков) с достаточным постоянством наблюдалось развитие 4-й стадии — «стадии разрешения» (от 3 до 12 суток). В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этот период, по данным субъективной оценки, постепенно стабилизировались настроение и самочувствие. Однако по результатам объективных данных и включенного наблюдения у абсолютного большинства обследованных сохранялись пониженный эмоциональный фон, огранич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ение контактов с окружающими,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гипомимия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маскообразность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лица), снижение интонационной окраски речи, замедленность движений, нарушения сна и аппетита, а также различные психосоматические реакции (преимущественно со стороны сердечно-сосудистой системы, желу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дочно-кишечного тракта и гормональной сферы). К концу этого периода у большинства пострадавших появлялось желание «выговориться», реализуемое избирательно, направленное преимущественно на лиц, не являвшихся очевидцами трагических событий, и сопровождавшеес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я некоторой ажитацией. Этот феномен, входящий в систему естественных механизмов психологической защиты («отторжение воспоминаний путем их вербализации»), в ряде случаев приносил пострадавшим существенное облегчение. Одновременно восстанавливались сны, отсу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тствовавшие в предшествующие периоды, в том числе — тревожного и кошмарного содержания, в различных вариантах трансформировавшие впечатления трагических событий.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На фоне субъективных признаков некоторого улучшения состояния объективно отмечалось дальнейше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е снижение психофизиологических резервов (по типу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гиперактивации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), прогрессивно нарастали явления переутомления, существенно уменьшались показатели физической и умственной работоспособности.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Следовало бы особо отметить, что предоставление возможности «выг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овориться» (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дебрифинг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) относится к наиболее важным компонентам профилактики психопатологии и успешности последующей реабилитации. При этом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дебрифинг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наиболее эффективен, если он проводится до введения транквилизаторов и до того, как пострадавшим предоставл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ена возможность сна (то есть – в первые сутки); естественно - если для этого имеются возможности и достаточное количество квалифицированных специалистов, способных проводить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дебрифинг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В случаях, когда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дебрифинг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оказывается по тем или иным причинам отложен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ным, происходит консолидация следов памяти, сопровождаемая рядом психопатологических феноменов, хорошо известных специалистам. Однако это не снижает самостоятельной значимости методически обоснованного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дебрифинга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на последующих этапах. Один специалист може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т квалифицированно провести в день не более 5-6 (максимум - 10) индивидуальных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дебрифингов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что определяет расчет сил и средств психологических служб экстренного реагирования.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В соответствии с обоснованными данными, в подобных ситуациях, как правило, треб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уется многоуровневый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дебрифинг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в том числе – для спасателей и психологов, действующих на «первом уровне» (участвующих в непосредственной работе с пострадавшими и членами их семей; при этом специалисты «второго уровня» вообще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не контактируют с последними).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5. «Стадия восстановления» психофизиологического состояния (5-я) начиналась преимущественно с конца второй недели после воздействия экстремального фактора и первоначально наиболее отчетливо проявлялась в поведенческих реакциях: активизировалось межличнос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тное общение, начинала нормализоваться эмоциональная окраска речи и мимических реакций, впервые появлялись шутки, вызывавшие эмоциональный отклик у окружающих, восстанавливались сновидения у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боль-шинства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обследованных. В состоянии физиологической сферы поз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итивной динамики и в этой стадии выявлено не было. Клинических форм психопатологии, за исключением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транзиторных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и ситуационных реакций, в «острый» период (до двух недель) после воздействия экстремальных факторов не наблюдалось. Основными формами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транзиторн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ой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психопатологии (по ведущему признаку) у пострадавших, как правило, являются: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астенодепрессивные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состояния – 56%; психогенный ступор – 23%; общее психомоторное возбуждение – 11%; выраженный негативизм с явлениями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аутизации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– 4%;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бредово-галлюцинаторные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р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еакции (преимущественно в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просоночный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период) – 3%; неадекватность, эйфория – 3%.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6. В более поздние сроки (через месяц) у 12% - 22% пострадавших выявлялись стойкие нарушения сна, немотивированные страхи, повторяющиеся кошмарные сновидения, навязчивости,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бредово-галлюцинаторные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состояния и некоторые другие, а признаки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астено-невротических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реакций в сочетании с психосоматическими нарушениями деятельности желудочно-кишечного тракта, сердечно-сосудистой и эндокринной систем определялись у 75% пострадавших («с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тадия отставленных реакций»). Одновременно нарастали внутренняя и внешняя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конфликтогенность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требующая специальных подходов. Отдаленные последствия, которые можно было бы выделить в самостоятельную (7-ю) стадию, нами не изучались.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Апеллируя к событиям в Б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еслане, следует признать, что тяжесть и динамика состояния пострадавших может быть существенно иной. Когда человек лишается родителей, мир пустеет, но, тем не менее, как это не горько – это соответствует обыденным представлениям и естественному ходу событи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й. Когда умирают дети, все краски мира меркнут, на многие годы и десятилетия, а порой - навсегда.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Несколько слов о модификации общества. Усиление базисной тревоги и ухудшение психофизиологического состояния людей, даже находящихся в тысячах километров от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трагедии – это общеизвестный факт, в основе которого лежит неизбежное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психоэмоциональное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включение субъекта в любое наблюдение. Стоило бы особо подчеркнуть – именно «наблюдение» (или «визуальный ряд», трансляцию которого, как представляется, стоило бы «до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зировать» на фоне полного содержательного освещения событий). Неизбежное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психоэмоциональное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включение формирует феномен «соучастия» и последующие идентификации. Основной формой идентификации в культурном сообществе является идентификация с жертвами и постр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адавшими, что предполагает необходимость широкой социальной терапии. Однако, в некоторых случаях возможна защитно-бессознательная «идентификация с агрессором» (особенно у молодых людей), что может приводить к росту правонарушений и преступности.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После под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обных трагических ситуаций, как правило, усиливается сплоченность нации, и одновременно люди испытывают потребность в каких-то ярких переменах, чтобы в жизни все стало честнее, благороднее, искреннее, лучше, чем было раньше, что налагает особые обязательст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ва на представителей всех государственных органов.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 xml:space="preserve">В заключение следует отметить, что ряд существенных аспектов проблемы, представляющих особое значение для специалистов, по этическим соображениям, в тексте не приводятся. </w:t>
                        </w:r>
                      </w:p>
                    </w:tc>
                  </w:tr>
                </w:tbl>
                <w:p w:rsidR="00000000" w:rsidRDefault="00157F33">
                  <w:pPr>
                    <w:rPr>
                      <w:rFonts w:ascii="Verdana" w:eastAsia="Arial Unicode MS" w:hAnsi="Verdana" w:cs="Arial Unicode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157F33">
            <w:pPr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</w:p>
        </w:tc>
      </w:tr>
    </w:tbl>
    <w:p w:rsidR="00000000" w:rsidRDefault="00157F33">
      <w:pPr>
        <w:rPr>
          <w:rFonts w:ascii="Verdana" w:hAnsi="Verdana"/>
          <w:vanish/>
          <w:sz w:val="20"/>
          <w:szCs w:val="20"/>
        </w:rPr>
      </w:pPr>
    </w:p>
    <w:tbl>
      <w:tblPr>
        <w:tblW w:w="9600" w:type="dxa"/>
        <w:jc w:val="center"/>
        <w:tblCellSpacing w:w="0" w:type="dxa"/>
        <w:tblCellMar>
          <w:top w:w="165" w:type="dxa"/>
          <w:left w:w="165" w:type="dxa"/>
          <w:bottom w:w="165" w:type="dxa"/>
          <w:right w:w="165" w:type="dxa"/>
        </w:tblCellMar>
        <w:tblLook w:val="0000"/>
      </w:tblPr>
      <w:tblGrid>
        <w:gridCol w:w="9600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00000" w:rsidRDefault="00157F3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Это статья была распечата</w:t>
            </w:r>
            <w:r>
              <w:rPr>
                <w:rFonts w:ascii="Verdana" w:hAnsi="Verdana"/>
                <w:sz w:val="20"/>
                <w:szCs w:val="20"/>
              </w:rPr>
              <w:t xml:space="preserve">на из Интернета и доступна по адресу:: </w:t>
            </w:r>
            <w:hyperlink r:id="rId5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http://oedipus.ru/bxod/read.php?sname=tema&amp;articlealias=osobennosti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0000" w:rsidRDefault="00157F33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© </w:t>
            </w:r>
            <w:hyperlink r:id="rId6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 xml:space="preserve">АНТИТЕРРОР | Психология </w:t>
              </w:r>
              <w:r>
                <w:rPr>
                  <w:rStyle w:val="a4"/>
                  <w:rFonts w:ascii="Verdana" w:hAnsi="Verdana"/>
                  <w:sz w:val="20"/>
                  <w:szCs w:val="20"/>
                </w:rPr>
                <w:t xml:space="preserve">и психопатология терроризма. Гуманитарные стратегии </w:t>
              </w:r>
              <w:proofErr w:type="spellStart"/>
              <w:r>
                <w:rPr>
                  <w:rStyle w:val="a4"/>
                  <w:rFonts w:ascii="Verdana" w:hAnsi="Verdana"/>
                  <w:sz w:val="20"/>
                  <w:szCs w:val="20"/>
                </w:rPr>
                <w:lastRenderedPageBreak/>
                <w:t>антитеррора</w:t>
              </w:r>
              <w:proofErr w:type="spellEnd"/>
              <w:r>
                <w:rPr>
                  <w:rStyle w:val="a4"/>
                  <w:rFonts w:ascii="Verdana" w:hAnsi="Verdana"/>
                  <w:sz w:val="20"/>
                  <w:szCs w:val="20"/>
                </w:rPr>
                <w:t xml:space="preserve"> |</w:t>
              </w:r>
            </w:hyperlink>
          </w:p>
          <w:p w:rsidR="00000000" w:rsidRDefault="00157F33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 xml:space="preserve">Powered by </w:t>
            </w:r>
            <w:hyperlink r:id="rId7" w:history="1">
              <w:proofErr w:type="spellStart"/>
              <w:r>
                <w:rPr>
                  <w:rStyle w:val="a4"/>
                  <w:rFonts w:ascii="Verdana" w:hAnsi="Verdana"/>
                  <w:sz w:val="15"/>
                  <w:szCs w:val="15"/>
                  <w:lang w:val="en-US"/>
                </w:rPr>
                <w:t>LogoArt</w:t>
              </w:r>
            </w:hyperlink>
            <w:hyperlink r:id="rId8" w:history="1">
              <w:r>
                <w:rPr>
                  <w:rStyle w:val="a4"/>
                  <w:rFonts w:ascii="Verdana" w:hAnsi="Verdana"/>
                  <w:sz w:val="15"/>
                  <w:szCs w:val="15"/>
                  <w:lang w:val="en-US"/>
                </w:rPr>
                <w:t>zuch</w:t>
              </w:r>
              <w:proofErr w:type="spellEnd"/>
            </w:hyperlink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57F33" w:rsidRDefault="00157F33">
      <w:pPr>
        <w:rPr>
          <w:lang w:val="en-US"/>
        </w:rPr>
      </w:pPr>
    </w:p>
    <w:sectPr w:rsidR="00157F33">
      <w:pgSz w:w="11907" w:h="16840" w:code="9"/>
      <w:pgMar w:top="851" w:right="851" w:bottom="851" w:left="851" w:header="397" w:footer="39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5A8A"/>
    <w:rsid w:val="00157F33"/>
    <w:rsid w:val="0074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ch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a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edipus.ru/bxod" TargetMode="External"/><Relationship Id="rId5" Type="http://schemas.openxmlformats.org/officeDocument/2006/relationships/hyperlink" Target="http://oedipus.ru/bxod/read.php?sname=tema&amp;articlealias=osobenno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edipus.ru/bxod/read.php?sname=tema&amp;articlealias=osobenno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 | Психология и психопатология терроризма</vt:lpstr>
    </vt:vector>
  </TitlesOfParts>
  <Company>none</Company>
  <LinksUpToDate>false</LinksUpToDate>
  <CharactersWithSpaces>15236</CharactersWithSpaces>
  <SharedDoc>false</SharedDoc>
  <HLinks>
    <vt:vector size="30" baseType="variant">
      <vt:variant>
        <vt:i4>3604599</vt:i4>
      </vt:variant>
      <vt:variant>
        <vt:i4>12</vt:i4>
      </vt:variant>
      <vt:variant>
        <vt:i4>0</vt:i4>
      </vt:variant>
      <vt:variant>
        <vt:i4>5</vt:i4>
      </vt:variant>
      <vt:variant>
        <vt:lpwstr>http://zuch.spb.ru/</vt:lpwstr>
      </vt:variant>
      <vt:variant>
        <vt:lpwstr/>
      </vt:variant>
      <vt:variant>
        <vt:i4>6815776</vt:i4>
      </vt:variant>
      <vt:variant>
        <vt:i4>9</vt:i4>
      </vt:variant>
      <vt:variant>
        <vt:i4>0</vt:i4>
      </vt:variant>
      <vt:variant>
        <vt:i4>5</vt:i4>
      </vt:variant>
      <vt:variant>
        <vt:lpwstr>http://logoart.ru/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http://oedipus.ru/bxod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http://oedipus.ru/bxod/read.php?sname=tema&amp;articlealias=osobennosti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http://oedipus.ru/bxod/read.php?sname=tema&amp;articlealias=osobennosti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 | Психология и психопатология терроризма</dc:title>
  <dc:creator>none</dc:creator>
  <cp:lastModifiedBy>555</cp:lastModifiedBy>
  <cp:revision>2</cp:revision>
  <dcterms:created xsi:type="dcterms:W3CDTF">2016-12-05T06:10:00Z</dcterms:created>
  <dcterms:modified xsi:type="dcterms:W3CDTF">2016-12-05T06:10:00Z</dcterms:modified>
</cp:coreProperties>
</file>